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F2937"/>
          <w:sz w:val="48"/>
          <w:szCs w:val="48"/>
          <w:b w:val="1"/>
          <w:bCs w:val="1"/>
        </w:rPr>
        <w:t xml:space="preserve">CMDApp — Help Manual</w:t>
      </w:r>
    </w:p>
    <w:p>
      <w:pPr/>
      <w:r>
        <w:rPr>
          <w:color w:val="6B7280"/>
          <w:sz w:val="18"/>
          <w:szCs w:val="18"/>
          <w:i w:val="1"/>
          <w:iCs w:val="1"/>
        </w:rPr>
        <w:t xml:space="preserve">ConcreteInfo · Generated 22-09-2026</w:t>
      </w:r>
    </w:p>
    <w:p/>
    <w:p>
      <w:pPr/>
      <w:r>
        <w:rPr>
          <w:color w:val="B45309"/>
          <w:sz w:val="34"/>
          <w:szCs w:val="34"/>
          <w:b w:val="1"/>
          <w:bCs w:val="1"/>
        </w:rPr>
        <w:t xml:space="preserve">Getting Started</w:t>
      </w:r>
    </w:p>
    <w:p>
      <w:pPr/>
      <w:r>
        <w:rPr>
          <w:color w:val="4B5563"/>
          <w:sz w:val="21"/>
          <w:szCs w:val="21"/>
          <w:i w:val="1"/>
          <w:iCs w:val="1"/>
        </w:rPr>
        <w:t xml:space="preserve">Sign in, verify your email, complete your profile, and you are on the dashboard. Everything downstream — designs, batches, tests, reports — flows from this one setup.</w:t>
      </w:r>
    </w:p>
    <w:p>
      <w:pPr>
        <w:jc w:val="center"/>
      </w:pPr>
      <w:r>
        <w:pict>
          <v:shape type="#_x0000_t75" stroked="f" style="width:480pt; height:300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/>
      <w:r>
        <w:rPr>
          <w:color w:val="6B7280"/>
          <w:sz w:val="18"/>
          <w:szCs w:val="18"/>
          <w:i w:val="1"/>
          <w:iCs w:val="1"/>
        </w:rPr>
        <w:t xml:space="preserve">The dashboard: plant context, KPI cards and quick actions.</w:t>
      </w:r>
    </w:p>
    <w:p>
      <w:pPr/>
      <w:r>
        <w:rPr>
          <w:sz w:val="21"/>
          <w:szCs w:val="21"/>
        </w:rPr>
        <w:t xml:space="preserve">1.  Sign in with email + password, or Continue with Google / LinkedIn.</w:t>
      </w:r>
    </w:p>
    <w:p>
      <w:pPr/>
      <w:r>
        <w:rPr>
          <w:sz w:val="21"/>
          <w:szCs w:val="21"/>
        </w:rPr>
        <w:t xml:space="preserve">2.  Verify your email — the verification link in your welcome mail is mandatory; the app blocks everything else until done.</w:t>
      </w:r>
    </w:p>
    <w:p>
      <w:pPr/>
      <w:r>
        <w:rPr>
          <w:sz w:val="21"/>
          <w:szCs w:val="21"/>
        </w:rPr>
        <w:t xml:space="preserve">3.  Complete your profile — phone, organisation, designation, country. This gate cannot be skipped the first time.</w:t>
      </w:r>
    </w:p>
    <w:p>
      <w:pPr/>
      <w:r>
        <w:rPr>
          <w:sz w:val="21"/>
          <w:szCs w:val="21"/>
        </w:rPr>
        <w:t xml:space="preserve">4.  Your plant and organisation context is set automatically; switch plants from the header if you manage several.</w:t>
      </w:r>
    </w:p>
    <w:p>
      <w:pPr/>
      <w:r>
        <w:rPr>
          <w:color w:val="065F46"/>
          <w:sz w:val="20"/>
          <w:szCs w:val="20"/>
        </w:rPr>
        <w:t xml:space="preserve">💡  On mobile the same features appear in the bottom navigation — CMDApp is mobile-first; 80% of users work from a phone.</w:t>
      </w:r>
    </w:p>
    <w:p/>
    <w:p>
      <w:pPr/>
      <w:r>
        <w:rPr>
          <w:color w:val="B45309"/>
          <w:sz w:val="34"/>
          <w:szCs w:val="34"/>
          <w:b w:val="1"/>
          <w:bCs w:val="1"/>
        </w:rPr>
        <w:t xml:space="preserve">Your Plan &amp; Plants</w:t>
      </w:r>
    </w:p>
    <w:p>
      <w:pPr/>
      <w:r>
        <w:rPr>
          <w:color w:val="4B5563"/>
          <w:sz w:val="21"/>
          <w:szCs w:val="21"/>
          <w:i w:val="1"/>
          <w:iCs w:val="1"/>
        </w:rPr>
        <w:t xml:space="preserve">Solo (1 plant), Growth (2–4 plants) and Enterprise (5+) plans are per user per month + GST. Annual billing gives 12 months for the price of 10.</w:t>
      </w:r>
    </w:p>
    <w:p>
      <w:pPr>
        <w:jc w:val="center"/>
      </w:pPr>
      <w:r>
        <w:pict>
          <v:shape type="#_x0000_t75" stroked="f" style="width:480pt; height:300pt; margin-left:0pt; margin-top:0pt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/>
      <w:r>
        <w:rPr>
          <w:color w:val="6B7280"/>
          <w:sz w:val="18"/>
          <w:szCs w:val="18"/>
          <w:i w:val="1"/>
          <w:iCs w:val="1"/>
        </w:rPr>
        <w:t xml:space="preserve">My Plants: tree view, tier meter and self-serve creation.</w:t>
      </w:r>
    </w:p>
    <w:p>
      <w:pPr/>
      <w:r>
        <w:rPr>
          <w:sz w:val="21"/>
          <w:szCs w:val="21"/>
        </w:rPr>
        <w:t xml:space="preserve">1.  Open My Plants (sidebar → Setup) to see your plant tree and tier meter.</w:t>
      </w:r>
    </w:p>
    <w:p>
      <w:pPr/>
      <w:r>
        <w:rPr>
          <w:sz w:val="21"/>
          <w:szCs w:val="21"/>
        </w:rPr>
        <w:t xml:space="preserve">2.  Click Add Plant, fill name/code/location — a default plant is provisioned automatically on first subscription.</w:t>
      </w:r>
    </w:p>
    <w:p>
      <w:pPr/>
      <w:r>
        <w:rPr>
          <w:sz w:val="21"/>
          <w:szCs w:val="21"/>
        </w:rPr>
        <w:t xml:space="preserve">3.  At your tier limit the meter turns amber and the button becomes Upgrade.</w:t>
      </w:r>
    </w:p>
    <w:tbl>
      <w:tblGrid>
        <w:gridCol w:w="2200" w:type="dxa"/>
        <w:gridCol w:w="2200" w:type="dxa"/>
        <w:gridCol w:w="2200" w:type="dxa"/>
        <w:gridCol w:w="2200" w:type="dxa"/>
      </w:tblGrid>
      <w:tblPr>
        <w:tblW w:w="100" w:type="auto"/>
        <w:tblLayout w:type="autofit"/>
        <w:tblCellMar>
          <w:top w:w="60" w:type="dxa"/>
          <w:left w:w="60" w:type="dxa"/>
          <w:right w:w="60" w:type="dxa"/>
          <w:bottom w:w="60" w:type="dxa"/>
        </w:tblCellMar>
        <w:tblBorders>
          <w:top w:val="single" w:sz="4" w:color="D1D5DB"/>
          <w:left w:val="single" w:sz="4" w:color="D1D5DB"/>
          <w:right w:val="single" w:sz="4" w:color="D1D5DB"/>
          <w:bottom w:val="single" w:sz="4" w:color="D1D5DB"/>
          <w:insideH w:val="single" w:sz="4" w:color="D1D5DB"/>
          <w:insideV w:val="single" w:sz="4" w:color="D1D5DB"/>
        </w:tblBorders>
      </w:tblPr>
      <w:tr>
        <w:trPr/>
        <w:tc>
          <w:tcPr>
            <w:tcW w:w="2200" w:type="dxa"/>
            <w:noWrap/>
          </w:tcPr>
          <w:p>
            <w:pPr/>
            <w:r>
              <w:rPr>
                <w:sz w:val="20"/>
                <w:szCs w:val="20"/>
                <w:b w:val="1"/>
                <w:bCs w:val="1"/>
              </w:rPr>
              <w:t xml:space="preserve">Plan</w:t>
            </w:r>
          </w:p>
        </w:tc>
        <w:tc>
          <w:tcPr>
            <w:tcW w:w="2200" w:type="dxa"/>
            <w:noWrap/>
          </w:tcPr>
          <w:p>
            <w:pPr/>
            <w:r>
              <w:rPr>
                <w:sz w:val="20"/>
                <w:szCs w:val="20"/>
                <w:b w:val="1"/>
                <w:bCs w:val="1"/>
              </w:rPr>
              <w:t xml:space="preserve">Plants</w:t>
            </w:r>
          </w:p>
        </w:tc>
        <w:tc>
          <w:tcPr>
            <w:tcW w:w="2200" w:type="dxa"/>
            <w:noWrap/>
          </w:tcPr>
          <w:p>
            <w:pPr/>
            <w:r>
              <w:rPr>
                <w:sz w:val="20"/>
                <w:szCs w:val="20"/>
                <w:b w:val="1"/>
                <w:bCs w:val="1"/>
              </w:rPr>
              <w:t xml:space="preserve">Monthly</w:t>
            </w:r>
          </w:p>
        </w:tc>
        <w:tc>
          <w:tcPr>
            <w:tcW w:w="2200" w:type="dxa"/>
            <w:noWrap/>
          </w:tcPr>
          <w:p>
            <w:pPr/>
            <w:r>
              <w:rPr>
                <w:sz w:val="20"/>
                <w:szCs w:val="20"/>
                <w:b w:val="1"/>
                <w:bCs w:val="1"/>
              </w:rPr>
              <w:t xml:space="preserve">Annual (pay 10, use 12)</w:t>
            </w:r>
          </w:p>
        </w:tc>
      </w:tr>
      <w:tr>
        <w:trPr/>
        <w:tc>
          <w:tcPr>
            <w:tcW w:w="2200" w:type="dxa"/>
            <w:noWrap/>
          </w:tcPr>
          <w:p>
            <w:pPr/>
            <w:r>
              <w:rPr>
                <w:sz w:val="20"/>
                <w:szCs w:val="20"/>
              </w:rPr>
              <w:t xml:space="preserve">Solo</w:t>
            </w:r>
          </w:p>
        </w:tc>
        <w:tc>
          <w:tcPr>
            <w:tcW w:w="2200" w:type="dxa"/>
            <w:noWrap/>
          </w:tcPr>
          <w:p>
            <w:pPr/>
            <w:r>
              <w:rPr>
                <w:sz w:val="20"/>
                <w:szCs w:val="20"/>
              </w:rPr>
              <w:t xml:space="preserve">1</w:t>
            </w:r>
          </w:p>
        </w:tc>
        <w:tc>
          <w:tcPr>
            <w:tcW w:w="2200" w:type="dxa"/>
            <w:noWrap/>
          </w:tcPr>
          <w:p>
            <w:pPr/>
            <w:r>
              <w:rPr>
                <w:sz w:val="20"/>
                <w:szCs w:val="20"/>
              </w:rPr>
              <w:t xml:space="preserve">₹1,299 + GST</w:t>
            </w:r>
          </w:p>
        </w:tc>
        <w:tc>
          <w:tcPr>
            <w:tcW w:w="2200" w:type="dxa"/>
            <w:noWrap/>
          </w:tcPr>
          <w:p>
            <w:pPr/>
            <w:r>
              <w:rPr>
                <w:sz w:val="20"/>
                <w:szCs w:val="20"/>
              </w:rPr>
              <w:t xml:space="preserve">₹12,990 + GST</w:t>
            </w:r>
          </w:p>
        </w:tc>
      </w:tr>
      <w:tr>
        <w:trPr/>
        <w:tc>
          <w:tcPr>
            <w:tcW w:w="2200" w:type="dxa"/>
            <w:noWrap/>
          </w:tcPr>
          <w:p>
            <w:pPr/>
            <w:r>
              <w:rPr>
                <w:sz w:val="20"/>
                <w:szCs w:val="20"/>
              </w:rPr>
              <w:t xml:space="preserve">Growth</w:t>
            </w:r>
          </w:p>
        </w:tc>
        <w:tc>
          <w:tcPr>
            <w:tcW w:w="2200" w:type="dxa"/>
            <w:noWrap/>
          </w:tcPr>
          <w:p>
            <w:pPr/>
            <w:r>
              <w:rPr>
                <w:sz w:val="20"/>
                <w:szCs w:val="20"/>
              </w:rPr>
              <w:t xml:space="preserve">2–4</w:t>
            </w:r>
          </w:p>
        </w:tc>
        <w:tc>
          <w:tcPr>
            <w:tcW w:w="2200" w:type="dxa"/>
            <w:noWrap/>
          </w:tcPr>
          <w:p>
            <w:pPr/>
            <w:r>
              <w:rPr>
                <w:sz w:val="20"/>
                <w:szCs w:val="20"/>
              </w:rPr>
              <w:t xml:space="preserve">₹1,899 + GST</w:t>
            </w:r>
          </w:p>
        </w:tc>
        <w:tc>
          <w:tcPr>
            <w:tcW w:w="2200" w:type="dxa"/>
            <w:noWrap/>
          </w:tcPr>
          <w:p>
            <w:pPr/>
            <w:r>
              <w:rPr>
                <w:sz w:val="20"/>
                <w:szCs w:val="20"/>
              </w:rPr>
              <w:t xml:space="preserve">₹18,990 + GST</w:t>
            </w:r>
          </w:p>
        </w:tc>
      </w:tr>
      <w:tr>
        <w:trPr/>
        <w:tc>
          <w:tcPr>
            <w:tcW w:w="2200" w:type="dxa"/>
            <w:noWrap/>
          </w:tcPr>
          <w:p>
            <w:pPr/>
            <w:r>
              <w:rPr>
                <w:sz w:val="20"/>
                <w:szCs w:val="20"/>
              </w:rPr>
              <w:t xml:space="preserve">Enterprise</w:t>
            </w:r>
          </w:p>
        </w:tc>
        <w:tc>
          <w:tcPr>
            <w:tcW w:w="2200" w:type="dxa"/>
            <w:noWrap/>
          </w:tcPr>
          <w:p>
            <w:pPr/>
            <w:r>
              <w:rPr>
                <w:sz w:val="20"/>
                <w:szCs w:val="20"/>
              </w:rPr>
              <w:t xml:space="preserve">5+</w:t>
            </w:r>
          </w:p>
        </w:tc>
        <w:tc>
          <w:tcPr>
            <w:tcW w:w="2200" w:type="dxa"/>
            <w:noWrap/>
          </w:tcPr>
          <w:p>
            <w:pPr/>
            <w:r>
              <w:rPr>
                <w:sz w:val="20"/>
                <w:szCs w:val="20"/>
              </w:rPr>
              <w:t xml:space="preserve">₹2,799 + GST</w:t>
            </w:r>
          </w:p>
        </w:tc>
        <w:tc>
          <w:tcPr>
            <w:tcW w:w="2200" w:type="dxa"/>
            <w:noWrap/>
          </w:tcPr>
          <w:p>
            <w:pPr/>
            <w:r>
              <w:rPr>
                <w:sz w:val="20"/>
                <w:szCs w:val="20"/>
              </w:rPr>
              <w:t xml:space="preserve">₹27,990 + GST</w:t>
            </w:r>
          </w:p>
        </w:tc>
      </w:tr>
    </w:tbl>
    <w:p/>
    <w:p>
      <w:pPr/>
      <w:r>
        <w:rPr>
          <w:color w:val="065F46"/>
          <w:sz w:val="20"/>
          <w:szCs w:val="20"/>
        </w:rPr>
        <w:t xml:space="preserve">💡  Every module — all mix-design methods, testing, analysis, exports, branding — is included in every paid tier. Higher tiers add plants, seats and storage, not features.</w:t>
      </w:r>
    </w:p>
    <w:p/>
    <w:p>
      <w:pPr/>
      <w:r>
        <w:rPr>
          <w:color w:val="B45309"/>
          <w:sz w:val="34"/>
          <w:szCs w:val="34"/>
          <w:b w:val="1"/>
          <w:bCs w:val="1"/>
        </w:rPr>
        <w:t xml:space="preserve">Standard RMC Property Form (Spec Defaults)</w:t>
      </w:r>
    </w:p>
    <w:p>
      <w:pPr/>
      <w:r>
        <w:rPr>
          <w:color w:val="4B5563"/>
          <w:sz w:val="21"/>
          <w:szCs w:val="21"/>
          <w:i w:val="1"/>
          <w:iCs w:val="1"/>
        </w:rPr>
        <w:t xml:space="preserve">Define the concrete specification once per plant / customer / project. Every calculator then pulls it automatically — grade, exposure, w/c limit, cement minimum, slump, aggregate size.</w:t>
      </w:r>
    </w:p>
    <w:p>
      <w:pPr>
        <w:jc w:val="center"/>
      </w:pPr>
      <w:r>
        <w:pict>
          <v:shape type="#_x0000_t75" stroked="f" style="width:480pt; height:300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/>
      <w:r>
        <w:rPr>
          <w:color w:val="6B7280"/>
          <w:sz w:val="18"/>
          <w:szCs w:val="18"/>
          <w:i w:val="1"/>
          <w:iCs w:val="1"/>
        </w:rPr>
        <w:t xml:space="preserve">RMC Spec: scope (project &gt; customer &gt; plant), IS 456 one-tap fill, saved specs list.</w:t>
      </w:r>
    </w:p>
    <w:p>
      <w:pPr/>
      <w:r>
        <w:rPr>
          <w:sz w:val="21"/>
          <w:szCs w:val="21"/>
        </w:rPr>
        <w:t xml:space="preserve">1.  Open RMC Spec (sidebar → Setup). Choose scope: a specific project, a customer, or plant-wide.</w:t>
      </w:r>
    </w:p>
    <w:p>
      <w:pPr/>
      <w:r>
        <w:rPr>
          <w:sz w:val="21"/>
          <w:szCs w:val="21"/>
        </w:rPr>
        <w:t xml:space="preserve">2.  Tap Fill from IS 456 — Table 5 durability limits (max w/c, min cement) load from the exposure condition.</w:t>
      </w:r>
    </w:p>
    <w:p>
      <w:pPr/>
      <w:r>
        <w:rPr>
          <w:sz w:val="21"/>
          <w:szCs w:val="21"/>
        </w:rPr>
        <w:t xml:space="preserve">3.  Save. The chip in every calculator confirms what was pulled, with an edit spec link.</w:t>
      </w:r>
    </w:p>
    <w:p>
      <w:pPr/>
      <w:r>
        <w:rPr>
          <w:color w:val="065F46"/>
          <w:sz w:val="20"/>
          <w:szCs w:val="20"/>
        </w:rPr>
        <w:t xml:space="preserve">💡  Resolution precedence is project → customer → plant. Selecting a customer/project on any calculator pulls the matching spec instantly — no retyping.</w:t>
      </w:r>
    </w:p>
    <w:p/>
    <w:p>
      <w:pPr/>
      <w:r>
        <w:rPr>
          <w:color w:val="B45309"/>
          <w:sz w:val="34"/>
          <w:szCs w:val="34"/>
          <w:b w:val="1"/>
          <w:bCs w:val="1"/>
        </w:rPr>
        <w:t xml:space="preserve">Creating a Mix Design — IS 10262 Five-Section Flow</w:t>
      </w:r>
    </w:p>
    <w:p>
      <w:pPr/>
      <w:r>
        <w:rPr>
          <w:color w:val="4B5563"/>
          <w:sz w:val="21"/>
          <w:szCs w:val="21"/>
          <w:i w:val="1"/>
          <w:iCs w:val="1"/>
        </w:rPr>
        <w:t xml:space="preserve">The primary design path (IS 10262:2019): Section 1 inputs, Sections 2–4 calculations, Section 5 final proportions — saved as a design you can trial, batch and pour against.</w:t>
      </w:r>
    </w:p>
    <w:p>
      <w:pPr>
        <w:jc w:val="center"/>
      </w:pPr>
      <w:r>
        <w:pict>
          <v:shape type="#_x0000_t75" stroked="f" style="width:480pt; height:300pt; margin-left:0pt; margin-top:0pt; mso-position-horizontal:left; mso-position-vertical:top; mso-position-horizontal-relative:char; mso-position-vertical-relative:line;">
            <w10:wrap type="inline"/>
            <v:imagedata r:id="rId10" o:title=""/>
          </v:shape>
        </w:pict>
      </w:r>
    </w:p>
    <w:p>
      <w:pPr/>
      <w:r>
        <w:rPr>
          <w:color w:val="6B7280"/>
          <w:sz w:val="18"/>
          <w:szCs w:val="18"/>
          <w:i w:val="1"/>
          <w:iCs w:val="1"/>
        </w:rPr>
        <w:t xml:space="preserve">Section 1: target grade, exposure, materials — with the RMC spec already pulled.</w:t>
      </w:r>
    </w:p>
    <w:p>
      <w:pPr/>
      <w:r>
        <w:rPr>
          <w:sz w:val="21"/>
          <w:szCs w:val="21"/>
        </w:rPr>
        <w:t xml:space="preserve">1.  Pick the client and project — the spec chip confirms the pulled specification.</w:t>
      </w:r>
    </w:p>
    <w:p>
      <w:pPr/>
      <w:r>
        <w:rPr>
          <w:sz w:val="21"/>
          <w:szCs w:val="21"/>
        </w:rPr>
        <w:t xml:space="preserve">2.  Enter target strength, exposure, aggregate sizes, admixtures; materials come from your library.</w:t>
      </w:r>
    </w:p>
    <w:p>
      <w:pPr/>
      <w:r>
        <w:rPr>
          <w:sz w:val="21"/>
          <w:szCs w:val="21"/>
        </w:rPr>
        <w:t xml:space="preserve">3.  Walk through Sections 2–5; each section carries forward automatically.</w:t>
      </w:r>
    </w:p>
    <w:p>
      <w:pPr/>
      <w:r>
        <w:rPr>
          <w:sz w:val="21"/>
          <w:szCs w:val="21"/>
        </w:rPr>
        <w:t xml:space="preserve">4.  Save — the design appears in My Designs with the client/project recorded.</w:t>
      </w:r>
    </w:p>
    <w:p/>
    <w:p>
      <w:pPr/>
      <w:r>
        <w:rPr>
          <w:color w:val="B45309"/>
          <w:sz w:val="34"/>
          <w:szCs w:val="34"/>
          <w:b w:val="1"/>
          <w:bCs w:val="1"/>
        </w:rPr>
        <w:t xml:space="preserve">Other Calculators (ACI, BRMCA, EFNARC SCC, HSC, Enhanced IS 10262)</w:t>
      </w:r>
    </w:p>
    <w:p>
      <w:pPr/>
      <w:r>
        <w:rPr>
          <w:color w:val="4B5563"/>
          <w:sz w:val="21"/>
          <w:szCs w:val="21"/>
          <w:i w:val="1"/>
          <w:iCs w:val="1"/>
        </w:rPr>
        <w:t xml:space="preserve">Every method is available on every paid plan. All of them auto-pull the RMC spec and save the customer/project with the design.</w:t>
      </w:r>
    </w:p>
    <w:p>
      <w:pPr>
        <w:jc w:val="center"/>
      </w:pPr>
      <w:r>
        <w:pict>
          <v:shape type="#_x0000_t75" stroked="f" style="width:480pt; height:300pt; margin-left:0pt; margin-top:0pt; mso-position-horizontal:left; mso-position-vertical:top; mso-position-horizontal-relative:char; mso-position-vertical-relative:line;">
            <w10:wrap type="inline"/>
            <v:imagedata r:id="rId11" o:title=""/>
          </v:shape>
        </w:pict>
      </w:r>
    </w:p>
    <w:p>
      <w:pPr/>
      <w:r>
        <w:rPr>
          <w:color w:val="6B7280"/>
          <w:sz w:val="18"/>
          <w:szCs w:val="18"/>
          <w:i w:val="1"/>
          <w:iCs w:val="1"/>
        </w:rPr>
        <w:t xml:space="preserve">Calculator hub: IS 10262, ACI 211, BRMCA/DoE, EFNARC SCC, HSC, UHPC and more.</w:t>
      </w:r>
    </w:p>
    <w:tbl>
      <w:tblGrid>
        <w:gridCol w:w="2200" w:type="dxa"/>
        <w:gridCol w:w="2200" w:type="dxa"/>
        <w:gridCol w:w="2200" w:type="dxa"/>
      </w:tblGrid>
      <w:tblPr>
        <w:tblW w:w="100" w:type="auto"/>
        <w:tblLayout w:type="autofit"/>
        <w:tblCellMar>
          <w:top w:w="60" w:type="dxa"/>
          <w:left w:w="60" w:type="dxa"/>
          <w:right w:w="60" w:type="dxa"/>
          <w:bottom w:w="60" w:type="dxa"/>
        </w:tblCellMar>
        <w:tblBorders>
          <w:top w:val="single" w:sz="4" w:color="D1D5DB"/>
          <w:left w:val="single" w:sz="4" w:color="D1D5DB"/>
          <w:right w:val="single" w:sz="4" w:color="D1D5DB"/>
          <w:bottom w:val="single" w:sz="4" w:color="D1D5DB"/>
          <w:insideH w:val="single" w:sz="4" w:color="D1D5DB"/>
          <w:insideV w:val="single" w:sz="4" w:color="D1D5DB"/>
        </w:tblBorders>
      </w:tblPr>
      <w:tr>
        <w:trPr/>
        <w:tc>
          <w:tcPr>
            <w:tcW w:w="2200" w:type="dxa"/>
            <w:noWrap/>
          </w:tcPr>
          <w:p>
            <w:pPr/>
            <w:r>
              <w:rPr>
                <w:sz w:val="20"/>
                <w:szCs w:val="20"/>
                <w:b w:val="1"/>
                <w:bCs w:val="1"/>
              </w:rPr>
              <w:t xml:space="preserve">Method</w:t>
            </w:r>
          </w:p>
        </w:tc>
        <w:tc>
          <w:tcPr>
            <w:tcW w:w="2200" w:type="dxa"/>
            <w:noWrap/>
          </w:tcPr>
          <w:p>
            <w:pPr/>
            <w:r>
              <w:rPr>
                <w:sz w:val="20"/>
                <w:szCs w:val="20"/>
                <w:b w:val="1"/>
                <w:bCs w:val="1"/>
              </w:rPr>
              <w:t xml:space="preserve">Best for</w:t>
            </w:r>
          </w:p>
        </w:tc>
        <w:tc>
          <w:tcPr>
            <w:tcW w:w="2200" w:type="dxa"/>
            <w:noWrap/>
          </w:tcPr>
          <w:p>
            <w:pPr/>
            <w:r>
              <w:rPr>
                <w:sz w:val="20"/>
                <w:szCs w:val="20"/>
                <w:b w:val="1"/>
                <w:bCs w:val="1"/>
              </w:rPr>
              <w:t xml:space="preserve">Spec pull</w:t>
            </w:r>
          </w:p>
        </w:tc>
      </w:tr>
      <w:tr>
        <w:trPr/>
        <w:tc>
          <w:tcPr>
            <w:tcW w:w="2200" w:type="dxa"/>
            <w:noWrap/>
          </w:tcPr>
          <w:p>
            <w:pPr/>
            <w:r>
              <w:rPr>
                <w:sz w:val="20"/>
                <w:szCs w:val="20"/>
              </w:rPr>
              <w:t xml:space="preserve">ACI 211.1</w:t>
            </w:r>
          </w:p>
        </w:tc>
        <w:tc>
          <w:tcPr>
            <w:tcW w:w="2200" w:type="dxa"/>
            <w:noWrap/>
          </w:tcPr>
          <w:p>
            <w:pPr/>
            <w:r>
              <w:rPr>
                <w:sz w:val="20"/>
                <w:szCs w:val="20"/>
              </w:rPr>
              <w:t xml:space="preserve">US-practice mixes (psi inputs)</w:t>
            </w:r>
          </w:p>
        </w:tc>
        <w:tc>
          <w:tcPr>
            <w:tcW w:w="2200" w:type="dxa"/>
            <w:noWrap/>
          </w:tcPr>
          <w:p>
            <w:pPr/>
            <w:r>
              <w:rPr>
                <w:sz w:val="20"/>
                <w:szCs w:val="20"/>
              </w:rPr>
              <w:t xml:space="preserve">MPa → psi, mm → inch bands</w:t>
            </w:r>
          </w:p>
        </w:tc>
      </w:tr>
      <w:tr>
        <w:trPr/>
        <w:tc>
          <w:tcPr>
            <w:tcW w:w="2200" w:type="dxa"/>
            <w:noWrap/>
          </w:tcPr>
          <w:p>
            <w:pPr/>
            <w:r>
              <w:rPr>
                <w:sz w:val="20"/>
                <w:szCs w:val="20"/>
              </w:rPr>
              <w:t xml:space="preserve">BRMCA / DoE</w:t>
            </w:r>
          </w:p>
        </w:tc>
        <w:tc>
          <w:tcPr>
            <w:tcW w:w="2200" w:type="dxa"/>
            <w:noWrap/>
          </w:tcPr>
          <w:p>
            <w:pPr/>
            <w:r>
              <w:rPr>
                <w:sz w:val="20"/>
                <w:szCs w:val="20"/>
              </w:rPr>
              <w:t xml:space="preserve">UK-practice mixes</w:t>
            </w:r>
          </w:p>
        </w:tc>
        <w:tc>
          <w:tcPr>
            <w:tcW w:w="2200" w:type="dxa"/>
            <w:noWrap/>
          </w:tcPr>
          <w:p>
            <w:pPr/>
            <w:r>
              <w:rPr>
                <w:sz w:val="20"/>
                <w:szCs w:val="20"/>
              </w:rPr>
              <w:t xml:space="preserve">MPa cube → cylinder class (C25…C55)</w:t>
            </w:r>
          </w:p>
        </w:tc>
      </w:tr>
      <w:tr>
        <w:trPr/>
        <w:tc>
          <w:tcPr>
            <w:tcW w:w="2200" w:type="dxa"/>
            <w:noWrap/>
          </w:tcPr>
          <w:p>
            <w:pPr/>
            <w:r>
              <w:rPr>
                <w:sz w:val="20"/>
                <w:szCs w:val="20"/>
              </w:rPr>
              <w:t xml:space="preserve">EFNARC SCC</w:t>
            </w:r>
          </w:p>
        </w:tc>
        <w:tc>
          <w:tcPr>
            <w:tcW w:w="2200" w:type="dxa"/>
            <w:noWrap/>
          </w:tcPr>
          <w:p>
            <w:pPr/>
            <w:r>
              <w:rPr>
                <w:sz w:val="20"/>
                <w:szCs w:val="20"/>
              </w:rPr>
              <w:t xml:space="preserve">Self-compacting concrete</w:t>
            </w:r>
          </w:p>
        </w:tc>
        <w:tc>
          <w:tcPr>
            <w:tcW w:w="2200" w:type="dxa"/>
            <w:noWrap/>
          </w:tcPr>
          <w:p>
            <w:pPr/>
            <w:r>
              <w:rPr>
                <w:sz w:val="20"/>
                <w:szCs w:val="20"/>
              </w:rPr>
              <w:t xml:space="preserve">Target strength direct</w:t>
            </w:r>
          </w:p>
        </w:tc>
      </w:tr>
      <w:tr>
        <w:trPr/>
        <w:tc>
          <w:tcPr>
            <w:tcW w:w="2200" w:type="dxa"/>
            <w:noWrap/>
          </w:tcPr>
          <w:p>
            <w:pPr/>
            <w:r>
              <w:rPr>
                <w:sz w:val="20"/>
                <w:szCs w:val="20"/>
              </w:rPr>
              <w:t xml:space="preserve">HSC</w:t>
            </w:r>
          </w:p>
        </w:tc>
        <w:tc>
          <w:tcPr>
            <w:tcW w:w="2200" w:type="dxa"/>
            <w:noWrap/>
          </w:tcPr>
          <w:p>
            <w:pPr/>
            <w:r>
              <w:rPr>
                <w:sz w:val="20"/>
                <w:szCs w:val="20"/>
              </w:rPr>
              <w:t xml:space="preserve">M60–M100 high strength</w:t>
            </w:r>
          </w:p>
        </w:tc>
        <w:tc>
          <w:tcPr>
            <w:tcW w:w="2200" w:type="dxa"/>
            <w:noWrap/>
          </w:tcPr>
          <w:p>
            <w:pPr/>
            <w:r>
              <w:rPr>
                <w:sz w:val="20"/>
                <w:szCs w:val="20"/>
              </w:rPr>
              <w:t xml:space="preserve">Grade + slump + exposure</w:t>
            </w:r>
          </w:p>
        </w:tc>
      </w:tr>
      <w:tr>
        <w:trPr/>
        <w:tc>
          <w:tcPr>
            <w:tcW w:w="2200" w:type="dxa"/>
            <w:noWrap/>
          </w:tcPr>
          <w:p>
            <w:pPr/>
            <w:r>
              <w:rPr>
                <w:sz w:val="20"/>
                <w:szCs w:val="20"/>
              </w:rPr>
              <w:t xml:space="preserve">IS 10262 Enhanced</w:t>
            </w:r>
          </w:p>
        </w:tc>
        <w:tc>
          <w:tcPr>
            <w:tcW w:w="2200" w:type="dxa"/>
            <w:noWrap/>
          </w:tcPr>
          <w:p>
            <w:pPr/>
            <w:r>
              <w:rPr>
                <w:sz w:val="20"/>
                <w:szCs w:val="20"/>
              </w:rPr>
              <w:t xml:space="preserve">Full control, SCM blends, ice</w:t>
            </w:r>
          </w:p>
        </w:tc>
        <w:tc>
          <w:tcPr>
            <w:tcW w:w="2200" w:type="dxa"/>
            <w:noWrap/>
          </w:tcPr>
          <w:p>
            <w:pPr/>
            <w:r>
              <w:rPr>
                <w:sz w:val="20"/>
                <w:szCs w:val="20"/>
              </w:rPr>
              <w:t xml:space="preserve">Full parameter set</w:t>
            </w:r>
          </w:p>
        </w:tc>
      </w:tr>
    </w:tbl>
    <w:p/>
    <w:p>
      <w:pPr>
        <w:jc w:val="center"/>
      </w:pPr>
      <w:r>
        <w:pict>
          <v:shape type="#_x0000_t75" stroked="f" style="width:480pt; height:300pt; margin-left:0pt; margin-top:0pt; mso-position-horizontal:left; mso-position-vertical:top; mso-position-horizontal-relative:char; mso-position-vertical-relative:line;">
            <w10:wrap type="inline"/>
            <v:imagedata r:id="rId12" o:title=""/>
          </v:shape>
        </w:pict>
      </w:r>
    </w:p>
    <w:p>
      <w:pPr/>
      <w:r>
        <w:rPr>
          <w:color w:val="6B7280"/>
          <w:sz w:val="18"/>
          <w:szCs w:val="18"/>
          <w:i w:val="1"/>
          <w:iCs w:val="1"/>
        </w:rPr>
        <w:t xml:space="preserve">Enhanced calculator: multi-aggregate rows, linked field sample support.</w:t>
      </w:r>
    </w:p>
    <w:p>
      <w:pPr/>
      <w:r>
        <w:rPr>
          <w:color w:val="065F46"/>
          <w:sz w:val="20"/>
          <w:szCs w:val="20"/>
        </w:rPr>
        <w:t xml:space="preserve">💡  Units are converted safely: a spec saved in MPa fills an ACI psi field correctly (×145.04), and a select is never set to a value its list does not contain.</w:t>
      </w:r>
    </w:p>
    <w:p/>
    <w:p>
      <w:pPr/>
      <w:r>
        <w:rPr>
          <w:color w:val="B45309"/>
          <w:sz w:val="34"/>
          <w:szCs w:val="34"/>
          <w:b w:val="1"/>
          <w:bCs w:val="1"/>
        </w:rPr>
        <w:t xml:space="preserve">Managing Your Designs</w:t>
      </w:r>
    </w:p>
    <w:p>
      <w:pPr/>
      <w:r>
        <w:rPr>
          <w:color w:val="4B5563"/>
          <w:sz w:val="21"/>
          <w:szCs w:val="21"/>
          <w:i w:val="1"/>
          <w:iCs w:val="1"/>
        </w:rPr>
        <w:t xml:space="preserve">My Designs lists every design with its client and project; View Design shows the full proportions, materials and compliance.</w:t>
      </w:r>
    </w:p>
    <w:p>
      <w:pPr>
        <w:jc w:val="center"/>
      </w:pPr>
      <w:r>
        <w:pict>
          <v:shape type="#_x0000_t75" stroked="f" style="width:480pt; height:300pt; margin-left:0pt; margin-top:0pt; mso-position-horizontal:left; mso-position-vertical:top; mso-position-horizontal-relative:char; mso-position-vertical-relative:line;">
            <w10:wrap type="inline"/>
            <v:imagedata r:id="rId13" o:title=""/>
          </v:shape>
        </w:pict>
      </w:r>
    </w:p>
    <w:p>
      <w:pPr/>
      <w:r>
        <w:rPr>
          <w:color w:val="6B7280"/>
          <w:sz w:val="18"/>
          <w:szCs w:val="18"/>
          <w:i w:val="1"/>
          <w:iCs w:val="1"/>
        </w:rPr>
        <w:t xml:space="preserve">My Designs — client · project shown under every mix.</w:t>
      </w:r>
    </w:p>
    <w:p>
      <w:pPr>
        <w:jc w:val="center"/>
      </w:pPr>
      <w:r>
        <w:pict>
          <v:shape type="#_x0000_t75" stroked="f" style="width:480pt; height:300pt; margin-left:0pt; margin-top:0pt; mso-position-horizontal:left; mso-position-vertical:top; mso-position-horizontal-relative:char; mso-position-vertical-relative:line;">
            <w10:wrap type="inline"/>
            <v:imagedata r:id="rId14" o:title=""/>
          </v:shape>
        </w:pict>
      </w:r>
    </w:p>
    <w:p>
      <w:pPr/>
      <w:r>
        <w:rPr>
          <w:color w:val="6B7280"/>
          <w:sz w:val="18"/>
          <w:szCs w:val="18"/>
          <w:i w:val="1"/>
          <w:iCs w:val="1"/>
        </w:rPr>
        <w:t xml:space="preserve">View Design: proportions, project info with client and site address.</w:t>
      </w:r>
    </w:p>
    <w:p>
      <w:pPr/>
      <w:r>
        <w:rPr>
          <w:sz w:val="21"/>
          <w:szCs w:val="21"/>
        </w:rPr>
        <w:t xml:space="preserve">1.  Search by mix name, client or project.</w:t>
      </w:r>
    </w:p>
    <w:p>
      <w:pPr/>
      <w:r>
        <w:rPr>
          <w:sz w:val="21"/>
          <w:szCs w:val="21"/>
        </w:rPr>
        <w:t xml:space="preserve">2.  Open a design to view proportions, print, or export the submittal.</w:t>
      </w:r>
    </w:p>
    <w:p>
      <w:pPr/>
      <w:r>
        <w:rPr>
          <w:sz w:val="21"/>
          <w:szCs w:val="21"/>
        </w:rPr>
        <w:t xml:space="preserve">3.  Draft designs become Calculated / Verified / Approved as you progress — quality tests list non-draft designs.</w:t>
      </w:r>
    </w:p>
    <w:p/>
    <w:p>
      <w:pPr/>
      <w:r>
        <w:rPr>
          <w:color w:val="B45309"/>
          <w:sz w:val="34"/>
          <w:szCs w:val="34"/>
          <w:b w:val="1"/>
          <w:bCs w:val="1"/>
        </w:rPr>
        <w:t xml:space="preserve">Materials Library</w:t>
      </w:r>
    </w:p>
    <w:p>
      <w:pPr/>
      <w:r>
        <w:rPr>
          <w:color w:val="4B5563"/>
          <w:sz w:val="21"/>
          <w:szCs w:val="21"/>
          <w:i w:val="1"/>
          <w:iCs w:val="1"/>
        </w:rPr>
        <w:t xml:space="preserve">Cements, SCMs, aggregates, admixtures, fibres and water — one library feeding every design, ticket and test.</w:t>
      </w:r>
    </w:p>
    <w:p>
      <w:pPr>
        <w:jc w:val="center"/>
      </w:pPr>
      <w:r>
        <w:pict>
          <v:shape type="#_x0000_t75" stroked="f" style="width:480pt; height:300pt; margin-left:0pt; margin-top:0pt; mso-position-horizontal:left; mso-position-vertical:top; mso-position-horizontal-relative:char; mso-position-vertical-relative:line;">
            <w10:wrap type="inline"/>
            <v:imagedata r:id="rId15" o:title=""/>
          </v:shape>
        </w:pict>
      </w:r>
    </w:p>
    <w:p>
      <w:pPr/>
      <w:r>
        <w:rPr>
          <w:color w:val="6B7280"/>
          <w:sz w:val="18"/>
          <w:szCs w:val="18"/>
          <w:i w:val="1"/>
          <w:iCs w:val="1"/>
        </w:rPr>
        <w:t xml:space="preserve">Aggregates: source field with supplier lookup chip.</w:t>
      </w:r>
    </w:p>
    <w:p>
      <w:pPr/>
      <w:r>
        <w:rPr>
          <w:sz w:val="21"/>
          <w:szCs w:val="21"/>
        </w:rPr>
        <w:t xml:space="preserve">1.  Add a material with its properties (SG, FM, grading, moisture).</w:t>
      </w:r>
    </w:p>
    <w:p>
      <w:pPr/>
      <w:r>
        <w:rPr>
          <w:sz w:val="21"/>
          <w:szCs w:val="21"/>
        </w:rPr>
        <w:t xml:space="preserve">2.  Type a known supplier — their contact/GST card appears and the last-used source fills in.</w:t>
      </w:r>
    </w:p>
    <w:p>
      <w:pPr/>
      <w:r>
        <w:rPr>
          <w:sz w:val="21"/>
          <w:szCs w:val="21"/>
        </w:rPr>
        <w:t xml:space="preserve">3.  Upload a supplier test certificate (PDF/photo) — OCR extracts grading and properties for review.</w:t>
      </w:r>
    </w:p>
    <w:p/>
    <w:p>
      <w:pPr/>
      <w:r>
        <w:rPr>
          <w:color w:val="B45309"/>
          <w:sz w:val="34"/>
          <w:szCs w:val="34"/>
          <w:b w:val="1"/>
          <w:bCs w:val="1"/>
        </w:rPr>
        <w:t xml:space="preserve">Batch Tickets</w:t>
      </w:r>
    </w:p>
    <w:p>
      <w:pPr/>
      <w:r>
        <w:rPr>
          <w:color w:val="4B5563"/>
          <w:sz w:val="21"/>
          <w:szCs w:val="21"/>
          <w:i w:val="1"/>
          <w:iCs w:val="1"/>
        </w:rPr>
        <w:t xml:space="preserve">Generate a ticket from a pour: the design multiplies by volume, the plant and materials cascade in, and a QR links the ticket to the pour.</w:t>
      </w:r>
    </w:p>
    <w:p>
      <w:pPr>
        <w:jc w:val="center"/>
      </w:pPr>
      <w:r>
        <w:pict>
          <v:shape type="#_x0000_t75" stroked="f" style="width:480pt; height:300pt; margin-left:0pt; margin-top:0pt; mso-position-horizontal:left; mso-position-vertical:top; mso-position-horizontal-relative:char; mso-position-vertical-relative:line;">
            <w10:wrap type="inline"/>
            <v:imagedata r:id="rId16" o:title=""/>
          </v:shape>
        </w:pict>
      </w:r>
    </w:p>
    <w:p>
      <w:pPr/>
      <w:r>
        <w:rPr>
          <w:color w:val="6B7280"/>
          <w:sz w:val="18"/>
          <w:szCs w:val="18"/>
          <w:i w:val="1"/>
          <w:iCs w:val="1"/>
        </w:rPr>
        <w:t xml:space="preserve">Batch ticket: pour cascade chips, per-m³ design × volume.</w:t>
      </w:r>
    </w:p>
    <w:p>
      <w:pPr/>
      <w:r>
        <w:rPr>
          <w:sz w:val="21"/>
          <w:szCs w:val="21"/>
        </w:rPr>
        <w:t xml:space="preserve">1.  Select the pour — client, project and design fill automatically.</w:t>
      </w:r>
    </w:p>
    <w:p>
      <w:pPr/>
      <w:r>
        <w:rPr>
          <w:sz w:val="21"/>
          <w:szCs w:val="21"/>
        </w:rPr>
        <w:t xml:space="preserve">2.  Enter the batch volume; quantities recalculate from the design.</w:t>
      </w:r>
    </w:p>
    <w:p>
      <w:pPr/>
      <w:r>
        <w:rPr>
          <w:sz w:val="21"/>
          <w:szCs w:val="21"/>
        </w:rPr>
        <w:t xml:space="preserve">3.  Print or share the ticket; scanned copies feed the pour record.</w:t>
      </w:r>
    </w:p>
    <w:p/>
    <w:p>
      <w:pPr/>
      <w:r>
        <w:rPr>
          <w:color w:val="B45309"/>
          <w:sz w:val="34"/>
          <w:szCs w:val="34"/>
          <w:b w:val="1"/>
          <w:bCs w:val="1"/>
        </w:rPr>
        <w:t xml:space="preserve">Pour Register</w:t>
      </w:r>
    </w:p>
    <w:p>
      <w:pPr/>
      <w:r>
        <w:rPr>
          <w:color w:val="4B5563"/>
          <w:sz w:val="21"/>
          <w:szCs w:val="21"/>
          <w:i w:val="1"/>
          <w:iCs w:val="1"/>
        </w:rPr>
        <w:t xml:space="preserve">Every pour is the anchor for its tickets, field samples, fresh tests and cubes — one pour card binds the whole trail.</w:t>
      </w:r>
    </w:p>
    <w:p>
      <w:pPr>
        <w:jc w:val="center"/>
      </w:pPr>
      <w:r>
        <w:pict>
          <v:shape type="#_x0000_t75" stroked="f" style="width:480pt; height:300pt; margin-left:0pt; margin-top:0pt; mso-position-horizontal:left; mso-position-vertical:top; mso-position-horizontal-relative:char; mso-position-vertical-relative:line;">
            <w10:wrap type="inline"/>
            <v:imagedata r:id="rId17" o:title=""/>
          </v:shape>
        </w:pict>
      </w:r>
    </w:p>
    <w:p>
      <w:pPr/>
      <w:r>
        <w:rPr>
          <w:color w:val="6B7280"/>
          <w:sz w:val="18"/>
          <w:szCs w:val="18"/>
          <w:i w:val="1"/>
          <w:iCs w:val="1"/>
        </w:rPr>
        <w:t xml:space="preserve">Pour register: structural element, grade, volume, status.</w:t>
      </w:r>
    </w:p>
    <w:p>
      <w:pPr/>
      <w:r>
        <w:rPr>
          <w:sz w:val="21"/>
          <w:szCs w:val="21"/>
        </w:rPr>
        <w:t xml:space="preserve">1.  Create the pour (or let the ticket create it) — grade and mix reference come from the design.</w:t>
      </w:r>
    </w:p>
    <w:p>
      <w:pPr/>
      <w:r>
        <w:rPr>
          <w:sz w:val="21"/>
          <w:szCs w:val="21"/>
        </w:rPr>
        <w:t xml:space="preserve">2.  Everything downstream links by pour: sampling, fresh tests, cube sets, pour cards.</w:t>
      </w:r>
    </w:p>
    <w:p>
      <w:pPr/>
      <w:r>
        <w:rPr>
          <w:sz w:val="21"/>
          <w:szCs w:val="21"/>
        </w:rPr>
        <w:t xml:space="preserve">3.  The pour card carries GPS, weather, signatures and photos from the field.</w:t>
      </w:r>
    </w:p>
    <w:p/>
    <w:p>
      <w:pPr/>
      <w:r>
        <w:rPr>
          <w:color w:val="B45309"/>
          <w:sz w:val="34"/>
          <w:szCs w:val="34"/>
          <w:b w:val="1"/>
          <w:bCs w:val="1"/>
        </w:rPr>
        <w:t xml:space="preserve">Field Sampling &amp; Fresh Tests</w:t>
      </w:r>
    </w:p>
    <w:p>
      <w:pPr/>
      <w:r>
        <w:rPr>
          <w:color w:val="4B5563"/>
          <w:sz w:val="21"/>
          <w:szCs w:val="21"/>
          <w:i w:val="1"/>
          <w:iCs w:val="1"/>
        </w:rPr>
        <w:t xml:space="preserve">Register the field sample, test fresh properties at the point of placement — slump, temperature, air, density — with weather and GPS captured automatically.</w:t>
      </w:r>
    </w:p>
    <w:p>
      <w:pPr>
        <w:jc w:val="center"/>
      </w:pPr>
      <w:r>
        <w:pict>
          <v:shape type="#_x0000_t75" stroked="f" style="width:480pt; height:300pt; margin-left:0pt; margin-top:0pt; mso-position-horizontal:left; mso-position-vertical:top; mso-position-horizontal-relative:char; mso-position-vertical-relative:line;">
            <w10:wrap type="inline"/>
            <v:imagedata r:id="rId18" o:title=""/>
          </v:shape>
        </w:pict>
      </w:r>
    </w:p>
    <w:p>
      <w:pPr/>
      <w:r>
        <w:rPr>
          <w:color w:val="6B7280"/>
          <w:sz w:val="18"/>
          <w:szCs w:val="18"/>
          <w:i w:val="1"/>
          <w:iCs w:val="1"/>
        </w:rPr>
        <w:t xml:space="preserve">Fresh test: project cascade, sample ID, slump/air/density.</w:t>
      </w:r>
    </w:p>
    <w:p>
      <w:pPr/>
      <w:r>
        <w:rPr>
          <w:sz w:val="21"/>
          <w:szCs w:val="21"/>
        </w:rPr>
        <w:t xml:space="preserve">1.  Pick the pour — mix reference and location cascade in.</w:t>
      </w:r>
    </w:p>
    <w:p>
      <w:pPr/>
      <w:r>
        <w:rPr>
          <w:sz w:val="21"/>
          <w:szCs w:val="21"/>
        </w:rPr>
        <w:t xml:space="preserve">2.  Record fresh properties; the sample ID (SMP-…) is generated for you.</w:t>
      </w:r>
    </w:p>
    <w:p>
      <w:pPr/>
      <w:r>
        <w:rPr>
          <w:sz w:val="21"/>
          <w:szCs w:val="21"/>
        </w:rPr>
        <w:t xml:space="preserve">3.  Cube sets cast at sampling inherit everything.</w:t>
      </w:r>
    </w:p>
    <w:p>
      <w:pPr/>
      <w:r>
        <w:rPr>
          <w:color w:val="065F46"/>
          <w:sz w:val="20"/>
          <w:szCs w:val="20"/>
        </w:rPr>
        <w:t xml:space="preserve">💡  The fresh test record is the head of the hardened trail — its values reappear on every downstream test.</w:t>
      </w:r>
    </w:p>
    <w:p/>
    <w:p>
      <w:pPr/>
      <w:r>
        <w:rPr>
          <w:color w:val="B45309"/>
          <w:sz w:val="34"/>
          <w:szCs w:val="34"/>
          <w:b w:val="1"/>
          <w:bCs w:val="1"/>
        </w:rPr>
        <w:t xml:space="preserve">Cube Casting</w:t>
      </w:r>
    </w:p>
    <w:p>
      <w:pPr/>
      <w:r>
        <w:rPr>
          <w:color w:val="4B5563"/>
          <w:sz w:val="21"/>
          <w:szCs w:val="21"/>
          <w:i w:val="1"/>
          <w:iCs w:val="1"/>
        </w:rPr>
        <w:t xml:space="preserve">Cast cube sets from the field sample — slump, temperature, air and density prefill from the fresh test, cast date from the pour.</w:t>
      </w:r>
    </w:p>
    <w:p>
      <w:pPr>
        <w:jc w:val="center"/>
      </w:pPr>
      <w:r>
        <w:pict>
          <v:shape type="#_x0000_t75" stroked="f" style="width:480pt; height:300pt; margin-left:0pt; margin-top:0pt; mso-position-horizontal:left; mso-position-vertical:top; mso-position-horizontal-relative:char; mso-position-vertical-relative:line;">
            <w10:wrap type="inline"/>
            <v:imagedata r:id="rId19" o:title=""/>
          </v:shape>
        </w:pict>
      </w:r>
    </w:p>
    <w:p>
      <w:pPr/>
      <w:r>
        <w:rPr>
          <w:color w:val="6B7280"/>
          <w:sz w:val="18"/>
          <w:szCs w:val="18"/>
          <w:i w:val="1"/>
          <w:iCs w:val="1"/>
        </w:rPr>
        <w:t xml:space="preserve">Cube casting: prefilled fresh properties chip, set/cube details.</w:t>
      </w:r>
    </w:p>
    <w:p>
      <w:pPr/>
      <w:r>
        <w:rPr>
          <w:sz w:val="21"/>
          <w:szCs w:val="21"/>
        </w:rPr>
        <w:t xml:space="preserve">1.  Select the pour/sample — the prefill chip shows what was pulled.</w:t>
      </w:r>
    </w:p>
    <w:p>
      <w:pPr/>
      <w:r>
        <w:rPr>
          <w:sz w:val="21"/>
          <w:szCs w:val="21"/>
        </w:rPr>
        <w:t xml:space="preserve">2.  Enter cube count and test ages (7/28/56/90 days as required).</w:t>
      </w:r>
    </w:p>
    <w:p>
      <w:pPr/>
      <w:r>
        <w:rPr>
          <w:sz w:val="21"/>
          <w:szCs w:val="21"/>
        </w:rPr>
        <w:t xml:space="preserve">3.  Curing tank and cube IDs are tracked; the compressive test picks them up by age.</w:t>
      </w:r>
    </w:p>
    <w:p/>
    <w:p>
      <w:pPr/>
      <w:r>
        <w:rPr>
          <w:color w:val="B45309"/>
          <w:sz w:val="34"/>
          <w:szCs w:val="34"/>
          <w:b w:val="1"/>
          <w:bCs w:val="1"/>
        </w:rPr>
        <w:t xml:space="preserve">Hardened Tests — Compressive, Flexural, Split, Core, NDT</w:t>
      </w:r>
    </w:p>
    <w:p>
      <w:pPr/>
      <w:r>
        <w:rPr>
          <w:color w:val="4B5563"/>
          <w:sz w:val="21"/>
          <w:szCs w:val="21"/>
          <w:i w:val="1"/>
          <w:iCs w:val="1"/>
        </w:rPr>
        <w:t xml:space="preserve">Link the field sample once and the whole context follows: client, project, mix, cast date — plus the fresh properties at casting, echoed on the report.</w:t>
      </w:r>
    </w:p>
    <w:p>
      <w:pPr>
        <w:jc w:val="center"/>
      </w:pPr>
      <w:r>
        <w:pict>
          <v:shape type="#_x0000_t75" stroked="f" style="width:480pt; height:300pt; margin-left:0pt; margin-top:0pt; mso-position-horizontal:left; mso-position-vertical:top; mso-position-horizontal-relative:char; mso-position-vertical-relative:line;">
            <w10:wrap type="inline"/>
            <v:imagedata r:id="rId20" o:title=""/>
          </v:shape>
        </w:pict>
      </w:r>
    </w:p>
    <w:p>
      <w:pPr/>
      <w:r>
        <w:rPr>
          <w:color w:val="6B7280"/>
          <w:sz w:val="18"/>
          <w:szCs w:val="18"/>
          <w:i w:val="1"/>
          <w:iCs w:val="1"/>
        </w:rPr>
        <w:t xml:space="preserve">Compressive test: Link Field Sample cascade + fresh-at-casting chip.</w:t>
      </w:r>
    </w:p>
    <w:p>
      <w:pPr/>
      <w:r>
        <w:rPr>
          <w:sz w:val="21"/>
          <w:szCs w:val="21"/>
        </w:rPr>
        <w:t xml:space="preserve">1.  Open the test page and pick the sample from Link Field Sample — client, project, site, mix reference, grade and cast date all fill.</w:t>
      </w:r>
    </w:p>
    <w:p>
      <w:pPr/>
      <w:r>
        <w:rPr>
          <w:sz w:val="21"/>
          <w:szCs w:val="21"/>
        </w:rPr>
        <w:t xml:space="preserve">2.  The green chip shows the fresh properties at casting (slump, temp, air, density) for correlation.</w:t>
      </w:r>
    </w:p>
    <w:p>
      <w:pPr/>
      <w:r>
        <w:rPr>
          <w:sz w:val="21"/>
          <w:szCs w:val="21"/>
        </w:rPr>
        <w:t xml:space="preserve">3.  Enter failure loads — averages, characteristic strength and IS 456 acceptance criteria evaluate automatically.</w:t>
      </w:r>
    </w:p>
    <w:p>
      <w:pPr/>
      <w:r>
        <w:rPr>
          <w:sz w:val="21"/>
          <w:szCs w:val="21"/>
        </w:rPr>
        <w:t xml:space="preserve">4.  Upload the CTM worksheet photo — OCR reads the loads into the form for review.</w:t>
      </w:r>
    </w:p>
    <w:p>
      <w:pPr/>
      <w:r>
        <w:rPr>
          <w:color w:val="92400E"/>
          <w:sz w:val="20"/>
          <w:szCs w:val="20"/>
        </w:rPr>
        <w:t xml:space="preserve">⚠  Editing a saved test never overwrites its original linkage — the sample link is set once, at creation.</w:t>
      </w:r>
    </w:p>
    <w:p/>
    <w:p>
      <w:pPr/>
      <w:r>
        <w:rPr>
          <w:color w:val="B45309"/>
          <w:sz w:val="34"/>
          <w:szCs w:val="34"/>
          <w:b w:val="1"/>
          <w:bCs w:val="1"/>
        </w:rPr>
        <w:t xml:space="preserve">Reports &amp; Exports</w:t>
      </w:r>
    </w:p>
    <w:p>
      <w:pPr/>
      <w:r>
        <w:rPr>
          <w:color w:val="4B5563"/>
          <w:sz w:val="21"/>
          <w:szCs w:val="21"/>
          <w:i w:val="1"/>
          <w:iCs w:val="1"/>
        </w:rPr>
        <w:t xml:space="preserve">Every test, design and ticket exports to PDF, Word or Excel; submittals bundle a design with its supporting tests.</w:t>
      </w:r>
    </w:p>
    <w:p>
      <w:pPr>
        <w:jc w:val="center"/>
      </w:pPr>
      <w:r>
        <w:pict>
          <v:shape type="#_x0000_t75" stroked="f" style="width:480pt; height:300pt; margin-left:0pt; margin-top:0pt; mso-position-horizontal:left; mso-position-vertical:top; mso-position-horizontal-relative:char; mso-position-vertical-relative:line;">
            <w10:wrap type="inline"/>
            <v:imagedata r:id="rId21" o:title=""/>
          </v:shape>
        </w:pict>
      </w:r>
    </w:p>
    <w:p>
      <w:pPr/>
      <w:r>
        <w:rPr>
          <w:color w:val="6B7280"/>
          <w:sz w:val="18"/>
          <w:szCs w:val="18"/>
          <w:i w:val="1"/>
          <w:iCs w:val="1"/>
        </w:rPr>
        <w:t xml:space="preserve">Reports hub: test reports, submittals, registers, analytics.</w:t>
      </w:r>
    </w:p>
    <w:p>
      <w:pPr/>
      <w:r>
        <w:rPr>
          <w:sz w:val="21"/>
          <w:szCs w:val="21"/>
        </w:rPr>
        <w:t xml:space="preserve">1.  Open any record and use the export buttons, or batch-export from the Reports hub.</w:t>
      </w:r>
    </w:p>
    <w:p>
      <w:pPr/>
      <w:r>
        <w:rPr>
          <w:sz w:val="21"/>
          <w:szCs w:val="21"/>
        </w:rPr>
        <w:t xml:space="preserve">2.  Reports carry your logo and colours (Branding, available on all paid tiers).</w:t>
      </w:r>
    </w:p>
    <w:p>
      <w:pPr/>
      <w:r>
        <w:rPr>
          <w:sz w:val="21"/>
          <w:szCs w:val="21"/>
        </w:rPr>
        <w:t xml:space="preserve">3.  Digital signatures and approval status are included on test reports.</w:t>
      </w:r>
    </w:p>
    <w:p/>
    <w:p>
      <w:pPr/>
      <w:r>
        <w:rPr>
          <w:color w:val="B45309"/>
          <w:sz w:val="34"/>
          <w:szCs w:val="34"/>
          <w:b w:val="1"/>
          <w:bCs w:val="1"/>
        </w:rPr>
        <w:t xml:space="preserve">Team, Invites &amp; Roles</w:t>
      </w:r>
    </w:p>
    <w:p>
      <w:pPr/>
      <w:r>
        <w:rPr>
          <w:color w:val="4B5563"/>
          <w:sz w:val="21"/>
          <w:szCs w:val="21"/>
          <w:i w:val="1"/>
          <w:iCs w:val="1"/>
        </w:rPr>
        <w:t xml:space="preserve">The first user in an organisation is its Super Admin. Invite teammates by email link — same-domain colleagues are discovered automatically. Each invited user runs their own subscription.</w:t>
      </w:r>
    </w:p>
    <w:p>
      <w:pPr>
        <w:jc w:val="center"/>
      </w:pPr>
      <w:r>
        <w:pict>
          <v:shape type="#_x0000_t75" stroked="f" style="width:480pt; height:300pt; margin-left:0pt; margin-top:0pt; mso-position-horizontal:left; mso-position-vertical:top; mso-position-horizontal-relative:char; mso-position-vertical-relative:line;">
            <w10:wrap type="inline"/>
            <v:imagedata r:id="rId22" o:title=""/>
          </v:shape>
        </w:pict>
      </w:r>
    </w:p>
    <w:p>
      <w:pPr/>
      <w:r>
        <w:rPr>
          <w:color w:val="6B7280"/>
          <w:sz w:val="18"/>
          <w:szCs w:val="18"/>
          <w:i w:val="1"/>
          <w:iCs w:val="1"/>
        </w:rPr>
        <w:t xml:space="preserve">Team page: domain discovery, pending invite links, roles.</w:t>
      </w:r>
    </w:p>
    <w:p>
      <w:pPr/>
      <w:r>
        <w:rPr>
          <w:sz w:val="21"/>
          <w:szCs w:val="21"/>
        </w:rPr>
        <w:t xml:space="preserve">1.  Open Team (Account) — same-domain candidates appear automatically.</w:t>
      </w:r>
    </w:p>
    <w:p>
      <w:pPr/>
      <w:r>
        <w:rPr>
          <w:sz w:val="21"/>
          <w:szCs w:val="21"/>
        </w:rPr>
        <w:t xml:space="preserve">2.  Send an invite link (valid 7 days); the invitee signs up straight into your organisation.</w:t>
      </w:r>
    </w:p>
    <w:p>
      <w:pPr/>
      <w:r>
        <w:rPr>
          <w:sz w:val="21"/>
          <w:szCs w:val="21"/>
        </w:rPr>
        <w:t xml:space="preserve">3.  Assign roles: Super Admin, Manager, Engineer, Technician, Viewer.</w:t>
      </w:r>
    </w:p>
    <w:p/>
    <w:p>
      <w:pPr/>
      <w:r>
        <w:rPr>
          <w:color w:val="B45309"/>
          <w:sz w:val="34"/>
          <w:szCs w:val="34"/>
          <w:b w:val="1"/>
          <w:bCs w:val="1"/>
        </w:rPr>
        <w:t xml:space="preserve">End-to-End Workflow</w:t>
      </w:r>
    </w:p>
    <w:p>
      <w:pPr/>
      <w:r>
        <w:rPr>
          <w:color w:val="4B5563"/>
          <w:sz w:val="21"/>
          <w:szCs w:val="21"/>
          <w:i w:val="1"/>
          <w:iCs w:val="1"/>
        </w:rPr>
        <w:t xml:space="preserve">The CMDApp principle: enter once, pull everywhere. The chain below is the whole product — each step hands its data to the next.</w:t>
      </w:r>
    </w:p>
    <w:p>
      <w:pPr/>
      <w:r>
        <w:rPr/>
        <w:t xml:space="preserve">Client / Project → RMC Spec → Mix Design → Trial Mix → Batch Ticket → Pour → Field Sample → Fresh Test → Cube Casting → Hardened Tests → Reports.</w:t>
      </w:r>
    </w:p>
    <w:tbl>
      <w:tblGrid>
        <w:gridCol w:w="2200" w:type="dxa"/>
        <w:gridCol w:w="2200" w:type="dxa"/>
        <w:gridCol w:w="2200" w:type="dxa"/>
      </w:tblGrid>
      <w:tblPr>
        <w:tblW w:w="100" w:type="auto"/>
        <w:tblLayout w:type="autofit"/>
        <w:tblCellMar>
          <w:top w:w="60" w:type="dxa"/>
          <w:left w:w="60" w:type="dxa"/>
          <w:right w:w="60" w:type="dxa"/>
          <w:bottom w:w="60" w:type="dxa"/>
        </w:tblCellMar>
        <w:tblBorders>
          <w:top w:val="single" w:sz="4" w:color="D1D5DB"/>
          <w:left w:val="single" w:sz="4" w:color="D1D5DB"/>
          <w:right w:val="single" w:sz="4" w:color="D1D5DB"/>
          <w:bottom w:val="single" w:sz="4" w:color="D1D5DB"/>
          <w:insideH w:val="single" w:sz="4" w:color="D1D5DB"/>
          <w:insideV w:val="single" w:sz="4" w:color="D1D5DB"/>
        </w:tblBorders>
      </w:tblPr>
      <w:tr>
        <w:trPr/>
        <w:tc>
          <w:tcPr>
            <w:tcW w:w="2200" w:type="dxa"/>
            <w:noWrap/>
          </w:tcPr>
          <w:p>
            <w:pPr/>
            <w:r>
              <w:rPr>
                <w:sz w:val="20"/>
                <w:szCs w:val="20"/>
                <w:b w:val="1"/>
                <w:bCs w:val="1"/>
              </w:rPr>
              <w:t xml:space="preserve">Stage</w:t>
            </w:r>
          </w:p>
        </w:tc>
        <w:tc>
          <w:tcPr>
            <w:tcW w:w="2200" w:type="dxa"/>
            <w:noWrap/>
          </w:tcPr>
          <w:p>
            <w:pPr/>
            <w:r>
              <w:rPr>
                <w:sz w:val="20"/>
                <w:szCs w:val="20"/>
                <w:b w:val="1"/>
                <w:bCs w:val="1"/>
              </w:rPr>
              <w:t xml:space="preserve">Entered once</w:t>
            </w:r>
          </w:p>
        </w:tc>
        <w:tc>
          <w:tcPr>
            <w:tcW w:w="2200" w:type="dxa"/>
            <w:noWrap/>
          </w:tcPr>
          <w:p>
            <w:pPr/>
            <w:r>
              <w:rPr>
                <w:sz w:val="20"/>
                <w:szCs w:val="20"/>
                <w:b w:val="1"/>
                <w:bCs w:val="1"/>
              </w:rPr>
              <w:t xml:space="preserve">Pulled downstream</w:t>
            </w:r>
          </w:p>
        </w:tc>
      </w:tr>
      <w:tr>
        <w:trPr/>
        <w:tc>
          <w:tcPr>
            <w:tcW w:w="2200" w:type="dxa"/>
            <w:noWrap/>
          </w:tcPr>
          <w:p>
            <w:pPr/>
            <w:r>
              <w:rPr>
                <w:sz w:val="20"/>
                <w:szCs w:val="20"/>
              </w:rPr>
              <w:t xml:space="preserve">Setup</w:t>
            </w:r>
          </w:p>
        </w:tc>
        <w:tc>
          <w:tcPr>
            <w:tcW w:w="2200" w:type="dxa"/>
            <w:noWrap/>
          </w:tcPr>
          <w:p>
            <w:pPr/>
            <w:r>
              <w:rPr>
                <w:sz w:val="20"/>
                <w:szCs w:val="20"/>
              </w:rPr>
              <w:t xml:space="preserve">Client, project, site address</w:t>
            </w:r>
          </w:p>
        </w:tc>
        <w:tc>
          <w:tcPr>
            <w:tcW w:w="2200" w:type="dxa"/>
            <w:noWrap/>
          </w:tcPr>
          <w:p>
            <w:pPr/>
            <w:r>
              <w:rPr>
                <w:sz w:val="20"/>
                <w:szCs w:val="20"/>
              </w:rPr>
              <w:t xml:space="preserve">Every form, ticket, report</w:t>
            </w:r>
          </w:p>
        </w:tc>
      </w:tr>
      <w:tr>
        <w:trPr/>
        <w:tc>
          <w:tcPr>
            <w:tcW w:w="2200" w:type="dxa"/>
            <w:noWrap/>
          </w:tcPr>
          <w:p>
            <w:pPr/>
            <w:r>
              <w:rPr>
                <w:sz w:val="20"/>
                <w:szCs w:val="20"/>
              </w:rPr>
              <w:t xml:space="preserve">RMC Spec</w:t>
            </w:r>
          </w:p>
        </w:tc>
        <w:tc>
          <w:tcPr>
            <w:tcW w:w="2200" w:type="dxa"/>
            <w:noWrap/>
          </w:tcPr>
          <w:p>
            <w:pPr/>
            <w:r>
              <w:rPr>
                <w:sz w:val="20"/>
                <w:szCs w:val="20"/>
              </w:rPr>
              <w:t xml:space="preserve">Grade, exposure, w/c, slump</w:t>
            </w:r>
          </w:p>
        </w:tc>
        <w:tc>
          <w:tcPr>
            <w:tcW w:w="2200" w:type="dxa"/>
            <w:noWrap/>
          </w:tcPr>
          <w:p>
            <w:pPr/>
            <w:r>
              <w:rPr>
                <w:sz w:val="20"/>
                <w:szCs w:val="20"/>
              </w:rPr>
              <w:t xml:space="preserve">All calculators</w:t>
            </w:r>
          </w:p>
        </w:tc>
      </w:tr>
      <w:tr>
        <w:trPr/>
        <w:tc>
          <w:tcPr>
            <w:tcW w:w="2200" w:type="dxa"/>
            <w:noWrap/>
          </w:tcPr>
          <w:p>
            <w:pPr/>
            <w:r>
              <w:rPr>
                <w:sz w:val="20"/>
                <w:szCs w:val="20"/>
              </w:rPr>
              <w:t xml:space="preserve">Mix design</w:t>
            </w:r>
          </w:p>
        </w:tc>
        <w:tc>
          <w:tcPr>
            <w:tcW w:w="2200" w:type="dxa"/>
            <w:noWrap/>
          </w:tcPr>
          <w:p>
            <w:pPr/>
            <w:r>
              <w:rPr>
                <w:sz w:val="20"/>
                <w:szCs w:val="20"/>
              </w:rPr>
              <w:t xml:space="preserve">Proportions, materials</w:t>
            </w:r>
          </w:p>
        </w:tc>
        <w:tc>
          <w:tcPr>
            <w:tcW w:w="2200" w:type="dxa"/>
            <w:noWrap/>
          </w:tcPr>
          <w:p>
            <w:pPr/>
            <w:r>
              <w:rPr>
                <w:sz w:val="20"/>
                <w:szCs w:val="20"/>
              </w:rPr>
              <w:t xml:space="preserve">Trials, tickets, tolerance checks</w:t>
            </w:r>
          </w:p>
        </w:tc>
      </w:tr>
      <w:tr>
        <w:trPr/>
        <w:tc>
          <w:tcPr>
            <w:tcW w:w="2200" w:type="dxa"/>
            <w:noWrap/>
          </w:tcPr>
          <w:p>
            <w:pPr/>
            <w:r>
              <w:rPr>
                <w:sz w:val="20"/>
                <w:szCs w:val="20"/>
              </w:rPr>
              <w:t xml:space="preserve">Pour</w:t>
            </w:r>
          </w:p>
        </w:tc>
        <w:tc>
          <w:tcPr>
            <w:tcW w:w="2200" w:type="dxa"/>
            <w:noWrap/>
          </w:tcPr>
          <w:p>
            <w:pPr/>
            <w:r>
              <w:rPr>
                <w:sz w:val="20"/>
                <w:szCs w:val="20"/>
              </w:rPr>
              <w:t xml:space="preserve">Element, volume, location</w:t>
            </w:r>
          </w:p>
        </w:tc>
        <w:tc>
          <w:tcPr>
            <w:tcW w:w="2200" w:type="dxa"/>
            <w:noWrap/>
          </w:tcPr>
          <w:p>
            <w:pPr/>
            <w:r>
              <w:rPr>
                <w:sz w:val="20"/>
                <w:szCs w:val="20"/>
              </w:rPr>
              <w:t xml:space="preserve">Tickets, samples, cubes</w:t>
            </w:r>
          </w:p>
        </w:tc>
      </w:tr>
      <w:tr>
        <w:trPr/>
        <w:tc>
          <w:tcPr>
            <w:tcW w:w="2200" w:type="dxa"/>
            <w:noWrap/>
          </w:tcPr>
          <w:p>
            <w:pPr/>
            <w:r>
              <w:rPr>
                <w:sz w:val="20"/>
                <w:szCs w:val="20"/>
              </w:rPr>
              <w:t xml:space="preserve">Field sample</w:t>
            </w:r>
          </w:p>
        </w:tc>
        <w:tc>
          <w:tcPr>
            <w:tcW w:w="2200" w:type="dxa"/>
            <w:noWrap/>
          </w:tcPr>
          <w:p>
            <w:pPr/>
            <w:r>
              <w:rPr>
                <w:sz w:val="20"/>
                <w:szCs w:val="20"/>
              </w:rPr>
              <w:t xml:space="preserve">Fresh props, weather, GPS</w:t>
            </w:r>
          </w:p>
        </w:tc>
        <w:tc>
          <w:tcPr>
            <w:tcW w:w="2200" w:type="dxa"/>
            <w:noWrap/>
          </w:tcPr>
          <w:p>
            <w:pPr/>
            <w:r>
              <w:rPr>
                <w:sz w:val="20"/>
                <w:szCs w:val="20"/>
              </w:rPr>
              <w:t xml:space="preserve">Cubes, hardened tests, reports</w:t>
            </w:r>
          </w:p>
        </w:tc>
      </w:tr>
    </w:tbl>
    <w:p/>
    <w:p>
      <w:pPr/>
      <w:r>
        <w:rPr>
          <w:color w:val="065F46"/>
          <w:sz w:val="20"/>
          <w:szCs w:val="20"/>
        </w:rPr>
        <w:t xml:space="preserve">💡  If you find yourself typing the same value twice anywhere, something is wrong — tell us and we will wire the pull.</w:t>
      </w:r>
    </w:p>
    <w:p/>
    <w:p>
      <w:pPr/>
      <w:r>
        <w:rPr>
          <w:color w:val="B45309"/>
          <w:sz w:val="34"/>
          <w:szCs w:val="34"/>
          <w:b w:val="1"/>
          <w:bCs w:val="1"/>
        </w:rPr>
        <w:t xml:space="preserve">FAQ &amp; Troubleshooting</w:t>
      </w:r>
    </w:p>
    <w:p>
      <w:pPr/>
      <w:r>
        <w:rPr>
          <w:color w:val="4B5563"/>
          <w:sz w:val="21"/>
          <w:szCs w:val="21"/>
          <w:i w:val="1"/>
          <w:iCs w:val="1"/>
        </w:rPr>
        <w:t xml:space="preserve">The questions support hears most.</w:t>
      </w:r>
    </w:p>
    <w:p>
      <w:pPr/>
      <w:r>
        <w:rPr>
          <w:color w:val="374151"/>
          <w:sz w:val="24"/>
          <w:szCs w:val="24"/>
          <w:b w:val="1"/>
          <w:bCs w:val="1"/>
        </w:rPr>
        <w:t xml:space="preserve">Why is a calculator field already filled?</w:t>
      </w:r>
    </w:p>
    <w:p>
      <w:pPr/>
      <w:r>
        <w:rPr/>
        <w:t xml:space="preserve">That is the RMC spec pull — the green chip names the source (plant / customer / project spec) with an edit link. Saving the design keeps those values.</w:t>
      </w:r>
    </w:p>
    <w:p>
      <w:pPr/>
      <w:r>
        <w:rPr>
          <w:color w:val="374151"/>
          <w:sz w:val="24"/>
          <w:szCs w:val="24"/>
          <w:b w:val="1"/>
          <w:bCs w:val="1"/>
        </w:rPr>
        <w:t xml:space="preserve">The Link Field Sample dropdown is empty.</w:t>
      </w:r>
    </w:p>
    <w:p>
      <w:pPr/>
      <w:r>
        <w:rPr/>
        <w:t xml:space="preserve">It lists the 40 most recent field samples (fresh tests) for your organisation. Cast/log a fresh test first.</w:t>
      </w:r>
    </w:p>
    <w:p>
      <w:pPr/>
      <w:r>
        <w:rPr>
          <w:color w:val="374151"/>
          <w:sz w:val="24"/>
          <w:szCs w:val="24"/>
          <w:b w:val="1"/>
          <w:bCs w:val="1"/>
        </w:rPr>
        <w:t xml:space="preserve">I cannot create another plant.</w:t>
      </w:r>
    </w:p>
    <w:p>
      <w:pPr/>
      <w:r>
        <w:rPr/>
        <w:t xml:space="preserve">Your tier limit is reached — the meter on My Plants shows usage. Upgrade from the button there or from Subscription.</w:t>
      </w:r>
    </w:p>
    <w:p>
      <w:pPr/>
      <w:r>
        <w:rPr>
          <w:color w:val="374151"/>
          <w:sz w:val="24"/>
          <w:szCs w:val="24"/>
          <w:b w:val="1"/>
          <w:bCs w:val="1"/>
        </w:rPr>
        <w:t xml:space="preserve">My design does not appear in quality tests.</w:t>
      </w:r>
    </w:p>
    <w:p>
      <w:pPr/>
      <w:r>
        <w:rPr/>
        <w:t xml:space="preserve">Test pages list designs in Calculated / Verified / Approved status. Open the design and mark it calculated first.</w:t>
      </w:r>
    </w:p>
    <w:p>
      <w:pPr/>
      <w:r>
        <w:rPr>
          <w:color w:val="374151"/>
          <w:sz w:val="24"/>
          <w:szCs w:val="24"/>
          <w:b w:val="1"/>
          <w:bCs w:val="1"/>
        </w:rPr>
        <w:t xml:space="preserve">Exports print without our logo.</w:t>
      </w:r>
    </w:p>
    <w:p>
      <w:pPr/>
      <w:r>
        <w:rPr/>
        <w:t xml:space="preserve">Set it once in Account → Branding (all paid tiers). Report and e-mail footers always carry the standard ConcreteInfo matter.</w:t>
      </w:r>
    </w:p>
    <w:p>
      <w:pPr/>
      <w:r>
        <w:rPr>
          <w:color w:val="374151"/>
          <w:sz w:val="24"/>
          <w:szCs w:val="24"/>
          <w:b w:val="1"/>
          <w:bCs w:val="1"/>
        </w:rPr>
        <w:t xml:space="preserve">Login fails after several tries.</w:t>
      </w:r>
    </w:p>
    <w:p>
      <w:pPr/>
      <w:r>
        <w:rPr/>
        <w:t xml:space="preserve">The rate limiter locks the account briefly after repeated attempts — wait a few minutes or reset your password.</w:t>
      </w:r>
    </w:p>
    <w:p/>
    <w:p>
      <w:pPr/>
      <w:r>
        <w:rPr>
          <w:color w:val="B45309"/>
          <w:sz w:val="34"/>
          <w:szCs w:val="34"/>
          <w:b w:val="1"/>
          <w:bCs w:val="1"/>
        </w:rPr>
        <w:t xml:space="preserve">Glossary</w:t>
      </w:r>
    </w:p>
    <w:p>
      <w:pPr/>
      <w:r>
        <w:rPr>
          <w:color w:val="4B5563"/>
          <w:sz w:val="21"/>
          <w:szCs w:val="21"/>
          <w:i w:val="1"/>
          <w:iCs w:val="1"/>
        </w:rPr>
        <w:t xml:space="preserve">Common terms used across CMDApp.</w:t>
      </w:r>
    </w:p>
    <w:tbl>
      <w:tblGrid>
        <w:gridCol w:w="2200" w:type="dxa"/>
        <w:gridCol w:w="2200" w:type="dxa"/>
      </w:tblGrid>
      <w:tblPr>
        <w:tblW w:w="100" w:type="auto"/>
        <w:tblLayout w:type="autofit"/>
        <w:tblCellMar>
          <w:top w:w="60" w:type="dxa"/>
          <w:left w:w="60" w:type="dxa"/>
          <w:right w:w="60" w:type="dxa"/>
          <w:bottom w:w="60" w:type="dxa"/>
        </w:tblCellMar>
        <w:tblBorders>
          <w:top w:val="single" w:sz="4" w:color="D1D5DB"/>
          <w:left w:val="single" w:sz="4" w:color="D1D5DB"/>
          <w:right w:val="single" w:sz="4" w:color="D1D5DB"/>
          <w:bottom w:val="single" w:sz="4" w:color="D1D5DB"/>
          <w:insideH w:val="single" w:sz="4" w:color="D1D5DB"/>
          <w:insideV w:val="single" w:sz="4" w:color="D1D5DB"/>
        </w:tblBorders>
      </w:tblPr>
      <w:tr>
        <w:trPr/>
        <w:tc>
          <w:tcPr>
            <w:tcW w:w="2200" w:type="dxa"/>
            <w:noWrap/>
          </w:tcPr>
          <w:p>
            <w:pPr/>
            <w:r>
              <w:rPr>
                <w:sz w:val="20"/>
                <w:szCs w:val="20"/>
                <w:b w:val="1"/>
                <w:bCs w:val="1"/>
              </w:rPr>
              <w:t xml:space="preserve">Term</w:t>
            </w:r>
          </w:p>
        </w:tc>
        <w:tc>
          <w:tcPr>
            <w:tcW w:w="2200" w:type="dxa"/>
            <w:noWrap/>
          </w:tcPr>
          <w:p>
            <w:pPr/>
            <w:r>
              <w:rPr>
                <w:sz w:val="20"/>
                <w:szCs w:val="20"/>
                <w:b w:val="1"/>
                <w:bCs w:val="1"/>
              </w:rPr>
              <w:t xml:space="preserve">Meaning</w:t>
            </w:r>
          </w:p>
        </w:tc>
      </w:tr>
      <w:tr>
        <w:trPr/>
        <w:tc>
          <w:tcPr>
            <w:tcW w:w="2200" w:type="dxa"/>
            <w:noWrap/>
          </w:tcPr>
          <w:p>
            <w:pPr/>
            <w:r>
              <w:rPr>
                <w:sz w:val="20"/>
                <w:szCs w:val="20"/>
              </w:rPr>
              <w:t xml:space="preserve">RMC</w:t>
            </w:r>
          </w:p>
        </w:tc>
        <w:tc>
          <w:tcPr>
            <w:tcW w:w="2200" w:type="dxa"/>
            <w:noWrap/>
          </w:tcPr>
          <w:p>
            <w:pPr/>
            <w:r>
              <w:rPr>
                <w:sz w:val="20"/>
                <w:szCs w:val="20"/>
              </w:rPr>
              <w:t xml:space="preserve">Ready-Mixed Concrete — batched at a plant, delivered to site.</w:t>
            </w:r>
          </w:p>
        </w:tc>
      </w:tr>
      <w:tr>
        <w:trPr/>
        <w:tc>
          <w:tcPr>
            <w:tcW w:w="2200" w:type="dxa"/>
            <w:noWrap/>
          </w:tcPr>
          <w:p>
            <w:pPr/>
            <w:r>
              <w:rPr>
                <w:sz w:val="20"/>
                <w:szCs w:val="20"/>
              </w:rPr>
              <w:t xml:space="preserve">IS 10262:2019</w:t>
            </w:r>
          </w:p>
        </w:tc>
        <w:tc>
          <w:tcPr>
            <w:tcW w:w="2200" w:type="dxa"/>
            <w:noWrap/>
          </w:tcPr>
          <w:p>
            <w:pPr/>
            <w:r>
              <w:rPr>
                <w:sz w:val="20"/>
                <w:szCs w:val="20"/>
              </w:rPr>
              <w:t xml:space="preserve">Indian Standard concrete mix proportioning guideline.</w:t>
            </w:r>
          </w:p>
        </w:tc>
      </w:tr>
      <w:tr>
        <w:trPr/>
        <w:tc>
          <w:tcPr>
            <w:tcW w:w="2200" w:type="dxa"/>
            <w:noWrap/>
          </w:tcPr>
          <w:p>
            <w:pPr/>
            <w:r>
              <w:rPr>
                <w:sz w:val="20"/>
                <w:szCs w:val="20"/>
              </w:rPr>
              <w:t xml:space="preserve">IS 456:2000</w:t>
            </w:r>
          </w:p>
        </w:tc>
        <w:tc>
          <w:tcPr>
            <w:tcW w:w="2200" w:type="dxa"/>
            <w:noWrap/>
          </w:tcPr>
          <w:p>
            <w:pPr/>
            <w:r>
              <w:rPr>
                <w:sz w:val="20"/>
                <w:szCs w:val="20"/>
              </w:rPr>
              <w:t xml:space="preserve">Indian Standard code of practice for plain and reinforced concrete (Table 5 sets durability limits).</w:t>
            </w:r>
          </w:p>
        </w:tc>
      </w:tr>
      <w:tr>
        <w:trPr/>
        <w:tc>
          <w:tcPr>
            <w:tcW w:w="2200" w:type="dxa"/>
            <w:noWrap/>
          </w:tcPr>
          <w:p>
            <w:pPr/>
            <w:r>
              <w:rPr>
                <w:sz w:val="20"/>
                <w:szCs w:val="20"/>
              </w:rPr>
              <w:t xml:space="preserve">w/c ratio</w:t>
            </w:r>
          </w:p>
        </w:tc>
        <w:tc>
          <w:tcPr>
            <w:tcW w:w="2200" w:type="dxa"/>
            <w:noWrap/>
          </w:tcPr>
          <w:p>
            <w:pPr/>
            <w:r>
              <w:rPr>
                <w:sz w:val="20"/>
                <w:szCs w:val="20"/>
              </w:rPr>
              <w:t xml:space="preserve">Water–cement ratio by mass — the primary durability control.</w:t>
            </w:r>
          </w:p>
        </w:tc>
      </w:tr>
      <w:tr>
        <w:trPr/>
        <w:tc>
          <w:tcPr>
            <w:tcW w:w="2200" w:type="dxa"/>
            <w:noWrap/>
          </w:tcPr>
          <w:p>
            <w:pPr/>
            <w:r>
              <w:rPr>
                <w:sz w:val="20"/>
                <w:szCs w:val="20"/>
              </w:rPr>
              <w:t xml:space="preserve">NCR / CAPA</w:t>
            </w:r>
          </w:p>
        </w:tc>
        <w:tc>
          <w:tcPr>
            <w:tcW w:w="2200" w:type="dxa"/>
            <w:noWrap/>
          </w:tcPr>
          <w:p>
            <w:pPr/>
            <w:r>
              <w:rPr>
                <w:sz w:val="20"/>
                <w:szCs w:val="20"/>
              </w:rPr>
              <w:t xml:space="preserve">Non-Conformance Report / Corrective &amp; Preventive Action.</w:t>
            </w:r>
          </w:p>
        </w:tc>
      </w:tr>
      <w:tr>
        <w:trPr/>
        <w:tc>
          <w:tcPr>
            <w:tcW w:w="2200" w:type="dxa"/>
            <w:noWrap/>
          </w:tcPr>
          <w:p>
            <w:pPr/>
            <w:r>
              <w:rPr>
                <w:sz w:val="20"/>
                <w:szCs w:val="20"/>
              </w:rPr>
              <w:t xml:space="preserve">CTM</w:t>
            </w:r>
          </w:p>
        </w:tc>
        <w:tc>
          <w:tcPr>
            <w:tcW w:w="2200" w:type="dxa"/>
            <w:noWrap/>
          </w:tcPr>
          <w:p>
            <w:pPr/>
            <w:r>
              <w:rPr>
                <w:sz w:val="20"/>
                <w:szCs w:val="20"/>
              </w:rPr>
              <w:t xml:space="preserve">Compression Testing Machine.</w:t>
            </w:r>
          </w:p>
        </w:tc>
      </w:tr>
      <w:tr>
        <w:trPr/>
        <w:tc>
          <w:tcPr>
            <w:tcW w:w="2200" w:type="dxa"/>
            <w:noWrap/>
          </w:tcPr>
          <w:p>
            <w:pPr/>
            <w:r>
              <w:rPr>
                <w:sz w:val="20"/>
                <w:szCs w:val="20"/>
              </w:rPr>
              <w:t xml:space="preserve">SCC</w:t>
            </w:r>
          </w:p>
        </w:tc>
        <w:tc>
          <w:tcPr>
            <w:tcW w:w="2200" w:type="dxa"/>
            <w:noWrap/>
          </w:tcPr>
          <w:p>
            <w:pPr/>
            <w:r>
              <w:rPr>
                <w:sz w:val="20"/>
                <w:szCs w:val="20"/>
              </w:rPr>
              <w:t xml:space="preserve">Self-Compacting Concrete (EFNARC classed by slump-flow, T500, V-funnel, L-box).</w:t>
            </w:r>
          </w:p>
        </w:tc>
      </w:tr>
      <w:tr>
        <w:trPr/>
        <w:tc>
          <w:tcPr>
            <w:tcW w:w="2200" w:type="dxa"/>
            <w:noWrap/>
          </w:tcPr>
          <w:p>
            <w:pPr/>
            <w:r>
              <w:rPr>
                <w:sz w:val="20"/>
                <w:szCs w:val="20"/>
              </w:rPr>
              <w:t xml:space="preserve">TMS</w:t>
            </w:r>
          </w:p>
        </w:tc>
        <w:tc>
          <w:tcPr>
            <w:tcW w:w="2200" w:type="dxa"/>
            <w:noWrap/>
          </w:tcPr>
          <w:p>
            <w:pPr/>
            <w:r>
              <w:rPr>
                <w:sz w:val="20"/>
                <w:szCs w:val="20"/>
              </w:rPr>
              <w:t xml:space="preserve">Target Mean Strength — characteristic strength plus statistical margin (1.65 × s).</w:t>
            </w:r>
          </w:p>
        </w:tc>
      </w:tr>
      <w:tr>
        <w:trPr/>
        <w:tc>
          <w:tcPr>
            <w:tcW w:w="2200" w:type="dxa"/>
            <w:noWrap/>
          </w:tcPr>
          <w:p>
            <w:pPr/>
            <w:r>
              <w:rPr>
                <w:sz w:val="20"/>
                <w:szCs w:val="20"/>
              </w:rPr>
              <w:t xml:space="preserve">Spec default</w:t>
            </w:r>
          </w:p>
        </w:tc>
        <w:tc>
          <w:tcPr>
            <w:tcW w:w="2200" w:type="dxa"/>
            <w:noWrap/>
          </w:tcPr>
          <w:p>
            <w:pPr/>
            <w:r>
              <w:rPr>
                <w:sz w:val="20"/>
                <w:szCs w:val="20"/>
              </w:rPr>
              <w:t xml:space="preserve">The standard RMC property form saved per plant / customer / project.</w:t>
            </w:r>
          </w:p>
        </w:tc>
      </w:tr>
    </w:tbl>
    <w:p/>
    <w:sectPr>
      <w:pgSz w:orient="portrait" w:w="11906" w:h="16838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1"/>
        <w:szCs w:val="21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png"/><Relationship Id="rId9" Type="http://schemas.openxmlformats.org/officeDocument/2006/relationships/image" Target="media/section_image3.png"/><Relationship Id="rId10" Type="http://schemas.openxmlformats.org/officeDocument/2006/relationships/image" Target="media/section_image4.png"/><Relationship Id="rId11" Type="http://schemas.openxmlformats.org/officeDocument/2006/relationships/image" Target="media/section_image5.png"/><Relationship Id="rId12" Type="http://schemas.openxmlformats.org/officeDocument/2006/relationships/image" Target="media/section_image6.png"/><Relationship Id="rId13" Type="http://schemas.openxmlformats.org/officeDocument/2006/relationships/image" Target="media/section_image7.png"/><Relationship Id="rId14" Type="http://schemas.openxmlformats.org/officeDocument/2006/relationships/image" Target="media/section_image8.png"/><Relationship Id="rId15" Type="http://schemas.openxmlformats.org/officeDocument/2006/relationships/image" Target="media/section_image9.png"/><Relationship Id="rId16" Type="http://schemas.openxmlformats.org/officeDocument/2006/relationships/image" Target="media/section_image10.png"/><Relationship Id="rId17" Type="http://schemas.openxmlformats.org/officeDocument/2006/relationships/image" Target="media/section_image11.png"/><Relationship Id="rId18" Type="http://schemas.openxmlformats.org/officeDocument/2006/relationships/image" Target="media/section_image12.png"/><Relationship Id="rId19" Type="http://schemas.openxmlformats.org/officeDocument/2006/relationships/image" Target="media/section_image13.png"/><Relationship Id="rId20" Type="http://schemas.openxmlformats.org/officeDocument/2006/relationships/image" Target="media/section_image14.png"/><Relationship Id="rId21" Type="http://schemas.openxmlformats.org/officeDocument/2006/relationships/image" Target="media/section_image15.png"/><Relationship Id="rId22" Type="http://schemas.openxmlformats.org/officeDocument/2006/relationships/image" Target="media/section_image1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2026-09-22T17:21:50+05:30</dcterms:created>
  <dcterms:modified xsi:type="dcterms:W3CDTF">2026-09-22T17:21:50+05:30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